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napToGrid w:val="0"/>
          <w:color w:val="0D0D0D" w:themeColor="text1" w:themeTint="F2"/>
          <w:kern w:val="0"/>
          <w:sz w:val="40"/>
          <w:szCs w:val="40"/>
          <w:lang w:val="en-US" w:eastAsia="en-US" w:bidi="ar-SA"/>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28"/>
          <w:szCs w:val="28"/>
          <w:lang w:val="en-US" w:eastAsia="zh-CN" w:bidi="ar-SA"/>
          <w14:textFill>
            <w14:solidFill>
              <w14:schemeClr w14:val="tx1">
                <w14:lumMod w14:val="95000"/>
                <w14:lumOff w14:val="5000"/>
              </w14:schemeClr>
            </w14:solidFill>
          </w14:textFill>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黑体" w:hAnsi="黑体" w:eastAsia="黑体" w:cs="黑体"/>
          <w:b w:val="0"/>
          <w:bCs w:val="0"/>
          <w:snapToGrid w:val="0"/>
          <w:color w:val="0D0D0D" w:themeColor="text1" w:themeTint="F2"/>
          <w:kern w:val="0"/>
          <w:sz w:val="40"/>
          <w:szCs w:val="40"/>
          <w:lang w:val="en-US" w:eastAsia="en-US" w:bidi="ar-SA"/>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40"/>
          <w:szCs w:val="40"/>
          <w:lang w:val="en-US" w:eastAsia="en-US" w:bidi="ar-SA"/>
          <w14:textFill>
            <w14:solidFill>
              <w14:schemeClr w14:val="tx1">
                <w14:lumMod w14:val="95000"/>
                <w14:lumOff w14:val="5000"/>
              </w14:schemeClr>
            </w14:solidFill>
          </w14:textFill>
        </w:rPr>
        <w:t>党史学习教育工作条例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 w:hAnsi="楷体" w:eastAsia="楷体" w:cs="楷体"/>
          <w:snapToGrid w:val="0"/>
          <w:color w:val="0D0D0D" w:themeColor="text1" w:themeTint="F2"/>
          <w:kern w:val="0"/>
          <w:sz w:val="32"/>
          <w:szCs w:val="32"/>
          <w:lang w:val="en-US" w:eastAsia="zh-CN" w:bidi="ar-SA"/>
          <w14:textFill>
            <w14:solidFill>
              <w14:schemeClr w14:val="tx1">
                <w14:lumMod w14:val="95000"/>
                <w14:lumOff w14:val="5000"/>
              </w14:schemeClr>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snapToGrid w:val="0"/>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楷体" w:hAnsi="楷体" w:eastAsia="楷体" w:cs="楷体"/>
          <w:snapToGrid w:val="0"/>
          <w:color w:val="0D0D0D" w:themeColor="text1" w:themeTint="F2"/>
          <w:kern w:val="0"/>
          <w:sz w:val="28"/>
          <w:szCs w:val="28"/>
          <w:lang w:val="en-US" w:eastAsia="zh-CN" w:bidi="ar-SA"/>
          <w14:textFill>
            <w14:solidFill>
              <w14:schemeClr w14:val="tx1">
                <w14:lumMod w14:val="95000"/>
                <w14:lumOff w14:val="5000"/>
              </w14:schemeClr>
            </w14:solidFill>
          </w14:textFill>
        </w:rPr>
        <w:t>（2024年1月18日中共中央政治局常委会会议审议批准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楷体" w:hAnsi="楷体" w:eastAsia="楷体" w:cs="楷体"/>
          <w:snapToGrid w:val="0"/>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楷体" w:hAnsi="楷体" w:eastAsia="楷体" w:cs="楷体"/>
          <w:snapToGrid w:val="0"/>
          <w:color w:val="0D0D0D" w:themeColor="text1" w:themeTint="F2"/>
          <w:kern w:val="0"/>
          <w:sz w:val="28"/>
          <w:szCs w:val="28"/>
          <w:lang w:val="en-US" w:eastAsia="zh-CN" w:bidi="ar-SA"/>
          <w14:textFill>
            <w14:solidFill>
              <w14:schemeClr w14:val="tx1">
                <w14:lumMod w14:val="95000"/>
                <w14:lumOff w14:val="5000"/>
              </w14:schemeClr>
            </w14:solidFill>
          </w14:textFill>
        </w:rPr>
        <w:t>2024年2月5日中共中央发布）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eastAsia" w:ascii="仿宋" w:hAnsi="仿宋" w:eastAsia="仿宋" w:cs="仿宋"/>
          <w:i w:val="0"/>
          <w:iCs w:val="0"/>
          <w:caps w:val="0"/>
          <w:spacing w:val="0"/>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为了推动党史学习教育常态化长效化，推动全党全社会学好党史、用好党史，从党的历史中汲取智慧和力量，弘扬伟大建党精神，传承红色基因，赓续红色血脉，根据《中国共产党章程》，制定本条例。</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党史学习教育工作的主要任务是：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（三）学史崇德。教育引导党员涵养高尚道德品质，崇尚对党忠诚的大德、造福人民的公德、严于律己的品德，做到始终忠于党、忠于人民。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（四）学史力行。教育引导党员坚持在锤炼党性上力行、在为民服务上力行、在推动发展上力行，不断提高政治判断力、政治领悟力、政治执行力，增强斗争本领，把握历史主动。</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党史学习教育工作遵循以下原则：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（一）坚持党的全面领导；</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（二）坚持围绕中心、服务大局；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（三）坚持以史鉴今、资政育人；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（四）坚持统筹谋划、开拓创新；</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（五）坚持分类指导、精准施策；</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（六）坚持唯物史观和正确党史观。</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xml:space="preserve">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领导体制和工作职责</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xml:space="preserve"> 党史学习教育工作在党中央集中统一领导下，由中央宣传思想文化工作领导小组负责统筹协调、整体推进、督促落实。</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中央宣传部、中央组织部、中央党史和文献研究院等部门按照职能职责，做好党史学习教育相关工作。</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各级党委（党组）承担党史学习教育工作主体责任，领导本地区本部门本单位开展工作，整合相关资源，统筹各方力量，发挥优势，形成合力。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基层党组织承担党史学习教育工作直接责任，把党史学习教育融入日常、抓在经常。</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党史学习教育的内容</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xml:space="preserve">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xml:space="preserve">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xml:space="preserve"> 学习和运用党在长期奋斗中积累的宝贵历史经验，坚持党的领导，坚持人民至上，坚持理论创新，坚持独立自主，坚持中国道路，坚持胸怀天下，坚持开拓创新，坚持敢于斗争，坚持统一战线，坚持自我革命。</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xml:space="preserve"> 弘扬伟大建党精神，坚持真理、坚守理想，践行初心、担当使命，不怕牺牲、英勇斗争，对党忠诚、不负人民，为强国建设、民族复兴提供精神力量。</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xml:space="preserve">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党史学习教育的主要方式</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xml:space="preserve"> 党员应当按照党章和有关党内法规要求，根据自身实际，通过阅读党史著作、开展研讨交流、参加教育培训、参观红色场馆、参加实践活动等形式学习党史。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各级党委（党组）理论学习中心组应当把党史作为集体学习的重要内容，纳入学习计划。</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xml:space="preserve">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xml:space="preserve">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xml:space="preserve"> 用好学校思想政治理论课渠道，推进大中小学思想政治教育一体化建设，推动党史进教材、进课堂、进头脑，发挥党史立德树人的重要作用。</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xml:space="preserve"> 用好革命博物馆、纪念馆、党史馆、烈士纪念设施、革命旧址等红色资源，保护利用好革命文物，精心设计展览陈列、红色旅游线路、学习体验线路，加强革命传统教育、爱国主义教育、思想道德教育。</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把党史学习教育融入重大主题宣传，与新中国史、改革开放史、社会主义发展史、中华民族发展史宣传教育结合起来，加强舆论引导，弘扬主旋律，传播正能量。</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做好重要节庆日、纪念日和重大党史事件纪念工作，按照党中央有关规定办好已故党和国家领导同志诞辰纪念活动，开展重大党史事件、重要党史人物和烈士纪念活动。</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xml:space="preserve"> 用好图书、报刊、广播、电影、电视等传播媒介，用好文学、影视、音乐、戏剧、美术等艺术形式，充分发挥文献档案、红色书信、革命诗词等教育价值，鼓励各地利用公共空间开展党史学习教育。</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用好互联网技术和新媒体手段，通过党史网站（频道）、网上纪念馆以及微博、微信、短视频、移动客户端等网络平台，打造党史融媒体作品，增强党史学习教育吸引力感染力。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第二十四条</w:t>
      </w:r>
      <w:r>
        <w:rPr>
          <w:rFonts w:hint="eastAsia" w:ascii="仿宋" w:hAnsi="仿宋" w:eastAsia="仿宋" w:cs="仿宋"/>
          <w:sz w:val="28"/>
          <w:szCs w:val="28"/>
        </w:rPr>
        <w:t xml:space="preserve">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保障和监督</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xml:space="preserve"> 党史和文献部门应当发挥党的历史和理论研究专门机构作用，制定党史和文献工作规划，组织开展党史研究、党史著作编写、党史宣传教育、党史资料征集等工作。</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各地区各部门各单位应当准确记载本地区本部门本单位党的工作，为党史和文献部门提供资料支持。</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xml:space="preserve"> 加强中共党史党建学一级学科建设，做好人才培养、课程设置、师资队伍建设、科学研究、学术交流等工作。加强党史精品课程建设，建立完善党史精品课程库，利用网络平台、线上课堂等形式，共享优质资源。</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第二十七条</w:t>
      </w:r>
      <w:r>
        <w:rPr>
          <w:rFonts w:hint="eastAsia" w:ascii="仿宋" w:hAnsi="仿宋" w:eastAsia="仿宋" w:cs="仿宋"/>
          <w:sz w:val="28"/>
          <w:szCs w:val="28"/>
        </w:rPr>
        <w:t xml:space="preserve">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xml:space="preserve">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第二十九条</w:t>
      </w:r>
      <w:r>
        <w:rPr>
          <w:rFonts w:hint="eastAsia" w:ascii="仿宋" w:hAnsi="仿宋" w:eastAsia="仿宋" w:cs="仿宋"/>
          <w:sz w:val="28"/>
          <w:szCs w:val="28"/>
        </w:rPr>
        <w:t xml:space="preserve"> 党史学习教育工作经费列入本级预算。</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开展党史学习教育，应当坚持勤俭节约，充分利用当地条件就地组织开展相关活动，严禁以学习教育为名变相公款旅游。严禁借学习教育搞不当营商活动，硬性摊派征订辅导读物、音像制品等学习资料。</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第三十条</w:t>
      </w:r>
      <w:r>
        <w:rPr>
          <w:rFonts w:hint="eastAsia" w:ascii="仿宋" w:hAnsi="仿宋" w:eastAsia="仿宋" w:cs="仿宋"/>
          <w:sz w:val="28"/>
          <w:szCs w:val="28"/>
        </w:rPr>
        <w:t xml:space="preserve"> 各级党委（党组）应当加强对党史学习教育工作开展情况的监督检查，将其纳入党建工作责任制，纳入领导班子、领导干部目标管理和考核体系，纳入巡视巡察内容。</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第三十一条</w:t>
      </w:r>
      <w:r>
        <w:rPr>
          <w:rFonts w:hint="eastAsia" w:ascii="仿宋" w:hAnsi="仿宋" w:eastAsia="仿宋" w:cs="仿宋"/>
          <w:sz w:val="28"/>
          <w:szCs w:val="28"/>
        </w:rPr>
        <w:t xml:space="preserve"> 各级党委（党组）原则上每5年组织开展1次党史学习教育工作情况综合评估，充分运用评估结果，不断改进党史学习教育工作。</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对党史学习教育工作中成绩突出的集体和个人，按照有关规定给予表彰奖励。</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违反本条例有关规定的，根据情节轻重，依规依纪依法予以处理、处分。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第三十二条</w:t>
      </w:r>
      <w:r>
        <w:rPr>
          <w:rFonts w:hint="eastAsia" w:ascii="仿宋" w:hAnsi="仿宋" w:eastAsia="仿宋" w:cs="仿宋"/>
          <w:sz w:val="28"/>
          <w:szCs w:val="28"/>
        </w:rPr>
        <w:t xml:space="preserve"> 军队党史学习教育工作规定，由中央军事委员会根据本条例制定。</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第三十三条</w:t>
      </w:r>
      <w:r>
        <w:rPr>
          <w:rFonts w:hint="eastAsia" w:ascii="仿宋" w:hAnsi="仿宋" w:eastAsia="仿宋" w:cs="仿宋"/>
          <w:sz w:val="28"/>
          <w:szCs w:val="28"/>
        </w:rPr>
        <w:t xml:space="preserve"> 本条例由中央宣传部、中央组织部、中央党史和文献研究院负责解释。</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第三十四条</w:t>
      </w:r>
      <w:r>
        <w:rPr>
          <w:rFonts w:hint="eastAsia" w:ascii="仿宋" w:hAnsi="仿宋" w:eastAsia="仿宋" w:cs="仿宋"/>
          <w:sz w:val="28"/>
          <w:szCs w:val="28"/>
        </w:rPr>
        <w:t xml:space="preserve"> 本条例自发布之日起施行。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GNjMzNmZTA4MGNhNDI0Mzk3MWFhMmI0ODY1ZTkifQ=="/>
  </w:docVars>
  <w:rsids>
    <w:rsidRoot w:val="2A9B3093"/>
    <w:rsid w:val="22E24ECC"/>
    <w:rsid w:val="2A9B3093"/>
    <w:rsid w:val="66001F65"/>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2024-02-22T04:40:00Z</dcterms:created>
  <dc:creator>街角欣影</dc:creator>
  <cp:lastModifiedBy>街角欣影</cp:lastModifiedBy>
  <dcterms:modified xsi:type="dcterms:W3CDTF">2024-02-25T11:12:45Z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8E2D0EEEFA8E473A985DB6886297F353_11</vt:lpwstr>
  </property>
</Properties>
</file>